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bookmarkStart w:id="0" w:name="_GoBack"/>
      <w:r>
        <w:rPr>
          <w:rFonts w:ascii="Arial" w:hAnsi="Arial" w:cs="Arial"/>
          <w:color w:val="555555"/>
          <w:sz w:val="20"/>
          <w:szCs w:val="20"/>
        </w:rPr>
        <w:t>ПОСТАНОВЛЕНИЕ СОВЕТА МИНИСТРОВ РЕСПУБЛИКИ БЕЛАРУСЬ</w:t>
      </w:r>
    </w:p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14 июля 2011 г. N 953</w:t>
      </w:r>
    </w:p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 НЕКОТОРЫХ ВОПРОСАХ ПРОФЕССИОНАЛЬНО-ТЕХНИЧЕСКОГО ОБРАЗОВАНИЯ</w:t>
      </w:r>
    </w:p>
    <w:bookmarkEnd w:id="0"/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 основании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5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пункта 10 статьи 19</w:t>
        </w:r>
      </w:hyperlink>
      <w:r>
        <w:rPr>
          <w:rFonts w:ascii="Arial" w:hAnsi="Arial" w:cs="Arial"/>
          <w:color w:val="555555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6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пункта 5 статьи 40</w:t>
        </w:r>
      </w:hyperlink>
      <w:r>
        <w:rPr>
          <w:rFonts w:ascii="Arial" w:hAnsi="Arial" w:cs="Arial"/>
          <w:color w:val="555555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7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пункта 10 статьи 57</w:t>
        </w:r>
      </w:hyperlink>
      <w:r>
        <w:rPr>
          <w:rFonts w:ascii="Arial" w:hAnsi="Arial" w:cs="Arial"/>
          <w:color w:val="555555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8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пункта 3 статьи 59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и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9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пункта 5 статьи 178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Кодекса Республики Беларусь об образовании Совет Министров Республики Беларусь ПОСТАНОВЛЯЕТ: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1. Утвердить прилагаемые: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0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Положение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о порядке признания учреждения профессионально-технического образования ведущим в системе профессионально-технического образования;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1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Положение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об организации питания и обеспечении питанием учащихся, получающих профессионально-техническое образование, за счет средств республиканского и (или) местного бюджетов;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2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Правила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приема лиц для получения профессионально-технического образования;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типовую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13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форму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договора о подготовке рабочего (служащего) с профессионально-техническим образованием за счет средств республиканского (местного) бюджета;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типовую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14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форму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договора о подготовке рабочего (служащего) с профессионально-техническим образованием на платной основе;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5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Положение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об организации производственного обучения учащихся, осваивающих содержание образовательных программ профессионально-технического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2. Признать утратившими силу: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6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постановление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Совета Министров Республики Беларусь от 27 января 1992 г. N 35 "О порядке выплаты учащимся профессионально-технических училищ сумм, заработанных ими в период производственного обучения и производственной практики" (СП Республики Беларусь, 1992 г., N 3, ст. 33);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7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постановление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Совета Министров Республики Беларусь от 28 октября 2002 г. N 1487 "Об утверждении Положения об организации производственного обучения учащихся учреждений, обеспечивающих получение профессионально-технического образования" (Национальный реестр правовых актов Республики Беларусь, 2002 г., N 123, 5/11376);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8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постановление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Совета Министров Республики Беларусь от 24 декабря 2003 г. N 1680 "О внесении дополнений и изменений в Положение об организации производственного обучения учащихся учреждений, обеспечивающих получение профессионально-технического образования" (Национальный реестр правовых актов Республики Беларусь, 2004 г., N 2, 5/13584);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19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 4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постановления Совета Министров Республики Беларусь от 5 августа 2005 г. N 872 "О внесении изменения и дополнений в некоторые постановления Совета Министров Республики Беларусь" (Национальный реестр правовых актов Республики Беларусь, 2005 г., N 125, 5/16370);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hyperlink r:id="rId20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 3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постановления Совета Министров Республики Беларусь от 4 декабря 2008 г. N 1862 "О внесении изменений в некоторые постановления Совета Министров Республики Беларусь" (Национальный реестр правовых актов Республики Беларусь, 2008 г., N 300, 5/28887).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3. Настоящее постановление вступает в силу с 1 сентября 2011 г.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24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Премьер-министр Республики Беларусь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М.Мясникович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br/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УТВЕРЖДЕНО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Постановление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Совета Министров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           Республики Беларусь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14.07.2011 N 953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ПОЛОЖЕНИЕ</w:t>
      </w:r>
    </w:p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 ПОРЯДКЕ ПРИЗНАНИЯ УЧРЕЖДЕНИЯ ПРОФЕССИОНАЛЬНО-ТЕХНИЧЕСКОГО ОБРАЗОВАНИЯ ВЕДУЩИМ В СИСТЕМЕ ПРОФЕССИОНАЛЬНО-ТЕХНИЧЕСКОГО ОБРАЗОВАНИЯ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1. Настоящее Положение разработано в соответствии с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1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пунктом 10 статьи 19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и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2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статьей 175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Кодекса Республики Беларусь об образовании и определяет порядок признания учреждения профессионально-технического образования ведущим в системе профессионально-технического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2. Учреждению профессионально-технического образования может быть предоставлен на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республиканском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(или) областном (г. Минска) уровнях статус ведущего учреждения профессионально-технического образования в системе профессионально-технического образования (далее - статус ведущего).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3. Статус ведущего на республиканском уровне определяется по профилям и (или) направлениям образования и, как правило, предоставляется учреждениям профессионально-технического образования, имеющим в своей структуре ресурсный центр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3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&lt;*&gt;</w:t>
        </w:r>
      </w:hyperlink>
      <w:r>
        <w:rPr>
          <w:rFonts w:ascii="Arial" w:hAnsi="Arial" w:cs="Arial"/>
          <w:color w:val="555555"/>
          <w:sz w:val="20"/>
          <w:szCs w:val="20"/>
        </w:rPr>
        <w:t>.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--------------------------------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&lt;*&gt; Для целей настоящего Положения под ресурсным центром понимается структурное подразделение учреждения образования, специально созданное для проведения производственного обучения учащихся нескольких учреждений образования в целях освоения новой техники, оборудования, технологий, передовых производственных приемов и методов труда.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4. Статус ведущего на областном (г. Минска) уровне предоставляется в целях совершенствования научно-методического обеспечения профессионально-технического образования и координации деятельности учреждений образования, реализующих образовательные программы профессионально-технического образования и расположенных на территории соответствующей административно-территориальной единицы, при внедрении инновационных проектов и решении иных задач в сфере профессионально-технического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5. Для принятия решения о предоставлении статуса ведущего на республиканском и областном (г. Минска) уровнях используются критерии оценки соответствия статусу ведущего учреждения профессионально-технического образования согласно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4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приложению</w:t>
        </w:r>
      </w:hyperlink>
      <w:r>
        <w:rPr>
          <w:rFonts w:ascii="Arial" w:hAnsi="Arial" w:cs="Arial"/>
          <w:color w:val="555555"/>
          <w:sz w:val="20"/>
          <w:szCs w:val="20"/>
        </w:rPr>
        <w:t>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6. Государственный орган (организация), в подчинении которого находится учреждение профессионально-технического образования, претендующее на предоставление статуса ведущего на республиканском уровне, направляет в Министерство образования, а учреждение профессионально-технического образования, претендующее на предоставление статуса ведущего на областном (г. Минска) уровне, - учредителю: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предложение (заявление) о предоставлении учреждению профессионально-технического образования статуса ведущего;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аналитическую справку о результатах деятельности учреждения профессионально-технического образования за последние 3 года на основе критериев оценки соответствия статусу ведущего;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lastRenderedPageBreak/>
        <w:t>характеристику о вкладе руководителей и педагогических работников учреждения профессионально-технического образования в научно-методическое обеспечение профессионально-технического образования, подготовленную организацией, осуществляющей научно-методическое обеспечение профессионально-технического образования на республиканском и (или) областном (г. Минска) уровнях;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отзывы организаций - заказчиков кадров о соответствии подготавливаемых рабочих (служащих) требованиям производства.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7. Для рассмотрения предложений государственных органов (организаций) или учреждений профессионально-технического образования о предоставлении статуса ведущего приказом Министерства образования, а на областном (г. Минска) уровне - приказом учредителя создается экспертная комиссия.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Экспертная комиссия в двухмесячный срок рассматривает представленные материалы. Она может осуществлять свою работу непосредственно в учреждении профессионально-технического образования, претендующем на предоставление ему статуса ведущего.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 итогам рассмотрения внесенных материалов соответствующая экспертная комиссия осуществляет подготовку заключения, на основании которого: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Министерство образования вносит в Совет Министров Республики Беларусь предложение о предоставлении учреждению профессионально-технического образования статуса ведущего на республиканском уровне;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учредитель по согласованию с Министерством образования принимает решение о предоставлении статуса ведущего учреждения профессионально-технического образования на областном (г. Минска) уровне.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8. Деятельность учреждений профессионально-технического образования, которым предоставлен статус ведущего на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республиканском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(или) областном (г. Минска) уровнях, координируют организации, осуществляющие научно-методическое обеспечение профессионально-технического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9. Учреждение профессионально-технического образования может быть лишено статуса ведущего при невыполнении установленных критериев оценки соответствия статусу ведущего по инициативе организации, координирующей деятельность учреждений профессионально-технического образования, в порядке, установленном для рассмотрения предложения о предоставлении статуса ведущего.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Приложение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 Положению о порядке признания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учреждения профессионально-технического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образования ведущим в системе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профессионально-технического образования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КРИТЕРИИ ОЦЕНКИ СООТВЕТСТВИЯ СТАТУСУ ВЕДУЩЕГО УЧРЕЖДЕНИЯ ПРОФЕССИОНАЛЬНО-ТЕХНИЧЕСКОГО ОБРАЗОВАНИЯ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────────────────────────────────────────────────────────────┬──────────────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 Критерии                          │  Показатели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────────────────────────────────────────────────────────────┴──────────────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1.  Количество учащихся, обучающихся по профилю и (или)         человек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направлению образования, в том числе для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наукоемких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,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высокотехнологичных производств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2.  Наличие заявок на подготовку рабочих (служащих),           количество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договоров о взаимодействии учреждения образования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с</w:t>
      </w:r>
      <w:proofErr w:type="gramEnd"/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организациями - заказчиками кадров при подготовке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рабочих (служащих) по профилю и (или) направлению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образования, в том числе для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наукоемких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,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высокотехнологичных производств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3.  Количество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обучающихся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по образовательным программам          -"-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дополнительного образования взрослых по профилю и (или)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направлению образования, в том числе для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наукоемких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,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высокотехнологичных производств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4.  Количество педагогических работников, участвовавших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в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        -"-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разработке и обновлении образовательных стандартов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профессионально-технического образования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по</w:t>
      </w:r>
      <w:proofErr w:type="gramEnd"/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специальностям, а также учебно-программной документации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образовательных программ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профессионально-технического</w:t>
      </w:r>
      <w:proofErr w:type="gramEnd"/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образования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5.  Количество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разработанных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в учреждении образования             -"-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учебных изданий и учебно-методической документации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по</w:t>
      </w:r>
      <w:proofErr w:type="gramEnd"/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профилю и (или) направлению образования: учебников,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учебных пособий, иных учебных изданий, методических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рекомендаций, методик преподавания учебных предметов,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тем; средств обучения, в том числе электронных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6.  Наличие в библиотечном фонде наряду с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учебной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               -"-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учебно-методической литературой современной научной,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научно-технической и справочной литературы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7.  Количество педагогических работников, опыт работы            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-"</w:t>
      </w:r>
      <w:proofErr w:type="gramEnd"/>
      <w:r>
        <w:rPr>
          <w:rFonts w:ascii="Arial" w:hAnsi="Arial" w:cs="Arial"/>
          <w:color w:val="555555"/>
          <w:sz w:val="20"/>
          <w:szCs w:val="20"/>
        </w:rPr>
        <w:t>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которых обобщен на республиканском, областном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(г. Минска)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уровнях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, уровне учреждения образования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8.  Доля педагогических работников, имеющих высшую и первую    процентов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квалификационные категории по профилю и (или)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направлению образования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9.  Количество преподавателей и мастеров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производственного</w:t>
      </w:r>
      <w:proofErr w:type="gramEnd"/>
      <w:r>
        <w:rPr>
          <w:rFonts w:ascii="Arial" w:hAnsi="Arial" w:cs="Arial"/>
          <w:color w:val="555555"/>
          <w:sz w:val="20"/>
          <w:szCs w:val="20"/>
        </w:rPr>
        <w:t>        -"-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обучения,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прошедших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стажировку по профилю и (или)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направлению образования, в том числе для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наукоемких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,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высокотехнологичных производств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10. Количество оборудования, соответствующего требованиям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к</w:t>
      </w:r>
      <w:proofErr w:type="gramEnd"/>
      <w:r>
        <w:rPr>
          <w:rFonts w:ascii="Arial" w:hAnsi="Arial" w:cs="Arial"/>
          <w:color w:val="555555"/>
          <w:sz w:val="20"/>
          <w:szCs w:val="20"/>
        </w:rPr>
        <w:t>    количество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подготовке рабочих по профилю и (или) направлению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образования для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наукоемких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, высокотехнологичных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производств, в том числе в организациях - заказчиках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кадров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11. Наличие в структуре учреждения образования ресурсного       да (нет)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центра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12. Количество экспериментальных и инновационных проектов,     количество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реализованных учреждением образования за последние 5 лет</w:t>
      </w:r>
      <w:proofErr w:type="gramEnd"/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13. Количество победителей конкурсов, выставок, олимпиад,        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-"</w:t>
      </w:r>
      <w:proofErr w:type="gramEnd"/>
      <w:r>
        <w:rPr>
          <w:rFonts w:ascii="Arial" w:hAnsi="Arial" w:cs="Arial"/>
          <w:color w:val="555555"/>
          <w:sz w:val="20"/>
          <w:szCs w:val="20"/>
        </w:rPr>
        <w:t>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слетов, фестивалей среди учащихся и работников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</w:t>
      </w:r>
      <w:proofErr w:type="gramEnd"/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республиканском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(или) областном (г. Минска) уровнях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14. Международное сотрудничество - заключенные договоры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с</w:t>
      </w:r>
      <w:proofErr w:type="gramEnd"/>
      <w:r>
        <w:rPr>
          <w:rFonts w:ascii="Arial" w:hAnsi="Arial" w:cs="Arial"/>
          <w:color w:val="555555"/>
          <w:sz w:val="20"/>
          <w:szCs w:val="20"/>
        </w:rPr>
        <w:t>         -"-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организациями иностранного государства, международными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организациями; участие в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международных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национальных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проектах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программах в сфере образования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УТВЕРЖДЕНО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Постановление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Совета Министров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Республики Беларусь</w:t>
      </w:r>
    </w:p>
    <w:p w:rsidR="008F7F78" w:rsidRDefault="008F7F78" w:rsidP="008F7F78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14.07.2011 N 953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ПОЛОЖЕНИЕ</w:t>
      </w:r>
    </w:p>
    <w:p w:rsidR="008F7F78" w:rsidRDefault="008F7F78" w:rsidP="008F7F78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 ОРГАНИЗАЦИИ ПИТАНИЯ И ОБЕСПЕЧЕНИИ ПИТАНИЕМ УЧАЩИХСЯ, ПОЛУЧАЮЩИХ ПРОФЕССИОНАЛЬНО-ТЕХНИЧЕСКОЕ ОБРАЗОВАНИЕ, ЗА СЧЕТ СРЕДСТВ РЕСПУБЛИКАНСКОГО И (ИЛИ) МЕСТНОГО БЮДЖЕТОВ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1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ОБЩИЕ ПОЛОЖЕНИЯ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1. Настоящее Положение, разработанное на основании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5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статьи 40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Кодекса Республики Беларусь об образовании, определяет порядок обеспечения питанием и организации питания учащихся, получающих профессионально-техническое образование, в учреждениях профессионально-технического, среднего специального и высшего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2. Питание учащихся, получающих профессионально-техническое образование (далее - учащиеся), за счет средств республиканского и (или) местных бюджетов осуществляется в </w:t>
      </w:r>
      <w:r>
        <w:rPr>
          <w:rFonts w:ascii="Arial" w:hAnsi="Arial" w:cs="Arial"/>
          <w:color w:val="555555"/>
          <w:sz w:val="20"/>
          <w:szCs w:val="20"/>
        </w:rPr>
        <w:lastRenderedPageBreak/>
        <w:t>соответствии с установленными нормами питания в пределах денежных норм расходов на питание для соответствующих категорий учащихся.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3.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Организация питания учащихся осуществляется в соответствии с законодательством субъектами предпринимательской деятельности - юридическими лицами и индивидуальными предпринимателями, специализирующимися на оказании услуг общественного питания, иными организациями, имеющими в своем составе соответствующие структурные подразделения (далее - субъекты предпринимательской деятельности), либо учреждениями профессионально-технического, среднего специального и высшего образования (далее - учреждения образования) через торговые объекты общественного питания: столовые, буфеты, кафе (далее - столовые).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4. Столовые осуществляют свою деятельность в соответствии с законодательством, регламентирующим порядок организации общественного питания.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2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ОБЕСПЕЧЕНИЕ ПИТАНИЕМ УЧАЩИХСЯ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5. За счет средств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республиканского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(или) местных бюджетов обеспечиваются: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одноразовым горячим питанием - учащиеся, обучающиеся более одного года;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бесплатным трехразовым горячим питанием - учащиеся, обучающиеся более одного года, из малообеспеченных семей (средний совокупный доход на члена семьи в месяц за предшествующий год не превышает 100 процентов утвержденного бюджета прожиточного минимума в среднем на душу населения в ценах декабря предшествующего года) и иногородние учащиеся учреждений образования, расположенных в сельских населенных пунктах и рабочих поселках.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6. Учащиеся учреждений образования, для которых не предусмотрено питание за счет средств республиканского и (или) местных бюджетов, обеспечиваются питанием за счет собственных средств, средств родителей или иных законных представителей.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7. Учащиеся обеспечиваются питанием в учебные дни, к которым относятся дни проведения учебных занятий, производственного обучения, в том числе производственной практики, подготовки к экзаменам, квалификационным, выпускным квалификационным экзаменам и их сдачи.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8. При невозможности организации горячего питания во время прохождения производственного обучения учащимся, указанным в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6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пункте 5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настоящего Положения, выплачивается денежная компенсация исходя из установленных денежных норм расходов на питание (без повышающего коэффициента).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9.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При обеспечении учащихся из числа детей-сирот, детей, оставшихся без попечения родителей, и лиц из числа детей-сирот, детей, оставшихся без попечения родителей (далее - дети-сироты), бесплатным одноразовым или трехразовым питанием в учебные дни в соответствии с денежными нормами расходов на питание учащихся, получающих профессионально-техническое образование, детям-сиротам по их заявлению производится выплата разницы между установленной Правительством Республики Беларусь денежной компенсацией расходов на питание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в день для детей-сирот, обучающихся в государственных учреждениях высшего, среднего специального и профессионально-технического образования в дневной форме получения образования, и соответствующими денежными нормами расходов на питание учащихся, получающих профессионально-техническое образование.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10. За время каникул на протяжении учебного года и летних каникул учащимся учреждений образования, обучающимся более одного года, за исключением детей-сирот, выплачивается денежная компенсация за питание из расчета 7,5 процента в день денежной нормы расходов на бесплатное трехразовое горячее питание (без повышающего коэффициента).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11. Предоставление бесплатного трехразового горячего питания учащимся осуществляется на основании заявления руководителю учреждения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12.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Перечень документов, необходимых для принятия решения о предоставлении бесплатного трехразового горячего питания учащемуся, и сроки принятия решения определены в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7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пункте 6.9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перечня административных процедур, осуществляемых государственными органами и иными организациями по заявлениям граждан, утвержденного Указом Президента Республики Беларусь от 26 апреля 2010 г. N 200 "Об административных процедурах, осуществляемых государственными органами и иными организациями по заявлениям граждан" (Национальный реестр правовых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актов Республики Беларусь, 2010 г., N 119, 1/11590).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13. Для принятия решения о предоставлении бесплатного трехразового горячего питания учащемуся учреждением образования производится расчет среднего совокупного дохода на члена семьи учащегося за последние двенадцать месяцев, предшествующих месяцу подачи заявления.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14. Средний совокупный доход на члена семьи учащегося в месяц определяется путем деления совокупного дохода всех членов семьи за последние двенадцать месяцев, предшествующих месяцу подачи заявления, на количество членов семьи, учтенных в ее составе, и на 12.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Состав совокупного дохода семьи определяется в соответствии с законодательством, устанавливающим порядок исчисления совокупного дохода на члена семьи при назначении государственных пособий семьям, воспитывающим детей старше 3 лет.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15. Для целей настоящего Положения при определении среднего совокупного дохода на члена семьи учащегося в составе его семьи учитываются: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для учащегося, не состоящего в браке, - мать, отец, находящиеся на их иждивении дети, не достигшие 18 лет или старше этого возраста, обучающиеся в учреждениях общего среднего, специального, профессионально-технического, среднего специального, высшего образования в дневной форме получения образования, а также инвалиды с детства I и II группы, получающие социальные пенсии;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для учащегося, состоящего в браке, - жена (муж), находящиеся на их иждивении дети, не достигшие 18 лет или старше этого возраста, обучающиеся в учреждениях общего среднего, специального, профессионально-технического, среднего специального, высшего образования в дневной форме получения образования, а также инвалиды с детства I и II группы, получающие социальные пенсии;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для учащегося, не состоящего в браке и имеющего детей, - находящиеся на его иждивении несовершеннолетние дети.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16. При расчете среднего совокупного дохода на члена семьи учащегося в совокупный доход семьи не включаются стоимость ранее полученного учащимся в учреждении образования питания, а также денежная компенсация, получаемая взамен питания.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17. Для определения среднего совокупного дохода на члена семьи учащегося учреждение образования не позднее пяти дней со дня подачи заявления запрашивает в организации, осуществляющей эксплуатацию жилищного фонда, или в организации, предоставившей жилое помещение, по месту жительства обратившегося учащегося и членов его семьи справку о месте жительства и составе семьи.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Справку о месте жительства и составе семьи учащийся может представить самостоятельно.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18. Решение о предоставлении бесплатного трехразового горячего питания учащемуся оформляется приказом учреждения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О принятом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решении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о предоставлении бесплатного трехразового горячего питания либо об отказе в его предоставлении учреждение образования не позднее пяти дней со дня принятия такого решения уведомляет учащегося в порядке, установленном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8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Законом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Республики Беларусь от 28 октября 2008 года "Об основах административных процедур" (Национальный реестр правовых актов Республики Беларусь, 2008 г., N 264, 2/1530).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19. Если есть основания для предоставления учащемуся бесплатного трехразового горячего питания, учащийся им обеспечивается в учебные дни с 1 сентября до окончания учебного года, определенного учебным планом. В случае обращения учащегося за предоставлением трехразового бесплатного горячего питания после 1 сентября оно предоставляется со дня принятия решения до окончания учебного года.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3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ОРГАНИЗАЦИЯ ПИТАНИЯ УЧАЩИХСЯ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20. Организация питания в учреждениях образования осуществляется субъектами предпринимательской деятельности на основании договора, заключенного между субъектом предпринимательской деятельности и учреждением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21. При организации питания учреждением образования столовая учреждения образования является его структурным подразделением и функционирует за счет средств республиканского и (или) местных бюджетов и (или) на возмездной основе на основании положения о столовой, которое утверждается руководителем учреждения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22. Структура и штаты столовой, являющейся структурным подразделением учреждения образования, определяются в установленном порядке и утверждаются руководителем учреждения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23. Питание в столовых организуется в соответствии с требованиями санитарных норм, правил и гигиенических нормативов к устройству, оборудованию, содержанию и организации образовательного процесса в соответствующих учреждениях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24. Питание учащихся осуществляется в соответствии с примерными двухнедельными рационами питания, разрабатываемыми с учетом физиологических норм потребностей в основных пищевых веществах и энергии, сезонности (летне-осеннее, зимне-весеннее), длительности пребывания в учреждении образования, разнообразия и сочетания пищевых продуктов, трудоемкости приготовления блюд.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25. Примерные двухнедельные рационы питания в столовых разрабатываются субъектом предпринимательской деятельности и утверждаются руководителями учреждения образования и субъекта предпринимательской деятельности, а в случае организации питания учреждением образования - разрабатываются заведующим производством столовой и утверждаются руководителем учреждения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26.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 основе примерных двухнедельных рационов питания с учетом товарного обеспечения, местных и иных особенностей составляются дневные рационы питания, единые для учащихся, которым предусмотрено питание за счет средств республиканского и (или) местных бюджетов, а также за счет собственных средств, средств родителей или иных законных представителей несовершеннолетних, и утверждаются руководителем учреждения образования или субъекта предпринимательской деятельности, подписываются заведующим производством и лицом, ответственным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за формирование цен в столовой.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27.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Рационы питания учащихся в учреждениях образования включают завтрак - закуска (салат), горячее блюдо, напиток; обед - закуска (салат), суп, горячее блюдо, сладкое блюдо или напиток (сок); ужин - закуска (салат), горячее блюдо, напиток.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 согласованию с родительским комитетом учреждения образования допускается исключение из меню обеда (полностью или в отдельные дни) супов.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28. Для учащихся, перенесших острые заболевания органов пищеварения, почек, печени, желчевыводящих путей, а также страдающих хроническими заболеваниями этих органов, в соответствии с рекомендациями врача организуется диетическое питание. Его организация осуществляется в пределах действующих денежных норм расходов на питание.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Диетическое питание предоставляется учащимся в соответствии со списком, составленным медицинским работником.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29. В учреждениях образования в соответствии с установленными нормами питания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проводится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С-витаминизация готовой пищи в порядке, определяемом Министерством здравоохранения, медицинским работником, обслуживающим учреждение образования. При отсутствии медицинского работника руководителем учреждения образования назначается лицо, ответственное за организацию и проведение С-витаминизации рационов питания.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30. Часы приема пищи определяются в соответствии с распорядком учебного дня учащихся в учреждении образования и интервалами между ее приемами, установленными санитарными нормами, правилами и гигиеническими нормативами к устройству, оборудованию, содержанию и организации образовательного процесса в соответствующих учреждениях образования.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31. Отпуск питания учащимся в столовых осуществляется в соответствии с графиком приема пищи, утверждаемым руководителем учреждения образования по согласованию с заведующим производством (руководителем) столовой.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32.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 xml:space="preserve">Для организации питания учащихся могут использоваться различные формы обслуживания: предварительный заказ блюд по меню завтрашнего дня, обслуживание по типу шведского стола, отпуск отдельных блюд в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многопорционной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посуде, централизованная система доставки и приготовления скомплектованных рационов питания, организация работы кафе, буфетов, новые технологии приготовления пищи (централизованное производство полуфабрикатов высокой степени готовности в расфасованном виде, готовой кулинарной продукции).</w:t>
      </w:r>
      <w:proofErr w:type="gramEnd"/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4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ПОРЯДОК ВОЗМЕЩЕНИЯ ЗАТРАТ НА ОБСЛУЖИВАНИЕ СТОЛОВЫХ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33. Помещения для организации питания обучающихся предоставляются субъектам предпринимательской деятельности в соответствии с</w:t>
      </w:r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hyperlink r:id="rId29" w:history="1">
        <w:r>
          <w:rPr>
            <w:rStyle w:val="a3"/>
            <w:rFonts w:ascii="Arial" w:hAnsi="Arial" w:cs="Arial"/>
            <w:color w:val="0EAC92"/>
            <w:sz w:val="20"/>
            <w:szCs w:val="20"/>
          </w:rPr>
          <w:t>Указом</w:t>
        </w:r>
      </w:hyperlink>
      <w:r>
        <w:rPr>
          <w:rStyle w:val="apple-converted-space"/>
          <w:rFonts w:ascii="Arial" w:hAnsi="Arial" w:cs="Arial"/>
          <w:color w:val="555555"/>
          <w:sz w:val="20"/>
          <w:szCs w:val="20"/>
        </w:rPr>
        <w:t> </w:t>
      </w:r>
      <w:r>
        <w:rPr>
          <w:rFonts w:ascii="Arial" w:hAnsi="Arial" w:cs="Arial"/>
          <w:color w:val="555555"/>
          <w:sz w:val="20"/>
          <w:szCs w:val="20"/>
        </w:rPr>
        <w:t>Президента Республики Беларусь от 23 октября 2009 г. N 518 "О некоторых вопросах аренды и безвозмездного пользования имуществом" (Национальный реестр правовых актов Республики Беларусь, 2009 г., N 261, 1/11073).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34. Расходы субъектов предпринимательской деятельности на организацию питания в учреждениях образования, эксплуатацию, капитальный и текущий ремонт помещений, предоставляемых в безвозмездное пользование, а также на коммунальные услуги, включая отопление, потребляемую электроэнергию, производятся за счет средств республиканского и (или) местных бюджетов.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35. Субъекты предпринимательской деятельности в соответствии с договорами обеспечивают столовые транспортом, инвентарем,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санспецодеждой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>, моющими и дезинфицирующими средствами, несут расходы на приобретение и хранение продуктов, производство полуфабрикатов и мучных кондитерских, хлебобулочных изделий в организациях, оплату труда обслуживающего персонала.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36. Расчеты с субъектами предпринимательской деятельности за предоставленное учащимся питание осуществляются в порядке плановых платежей не реже двух раз в месяц.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37. Направление и порядок использования средств, получаемых от деятельности столовых, являющихся структурными подразделениями учреждений образования, функционирующих на возмездной основе, осуществляются в порядке, установленном законодательством.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5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ОРГАНИЗАЦИЯ ПОСТАВОК ПРОДУКТОВ ПИТАНИЯ В СТОЛОВЫЕ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38. Поставки пищевых продуктов и продовольственного сырья (далее - продукты питания) в столовые осуществляются поставщиками, определяемыми в соответствии с законодательством.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39. Закупка продуктов питания для столовых осуществляется в соответствии с примерными двухнедельными рационами питания с учетом сроков их хранения (годности) и наличия необходимых условий хранения.</w:t>
      </w:r>
    </w:p>
    <w:p w:rsidR="008F7F78" w:rsidRDefault="008F7F78" w:rsidP="008F7F78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40.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При организации питания обучающихся может использоваться по сформированной учреждением образования себестоимости сельскохозяйственная продукция, заготавливаемая и выращиваемая на учебно-опытных участках, в учебных хозяйствах и иных структурных подразделениях учреждения образования и на которую имеются документы, подтверждающие ее качество и безопасность.</w:t>
      </w:r>
      <w:proofErr w:type="gramEnd"/>
    </w:p>
    <w:p w:rsidR="00F64661" w:rsidRDefault="008F7F78"/>
    <w:sectPr w:rsidR="00F64661" w:rsidSect="00BF59E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78"/>
    <w:rsid w:val="00027322"/>
    <w:rsid w:val="000649EA"/>
    <w:rsid w:val="00266022"/>
    <w:rsid w:val="002E76B9"/>
    <w:rsid w:val="003657C3"/>
    <w:rsid w:val="004E7140"/>
    <w:rsid w:val="004F1B39"/>
    <w:rsid w:val="0063130E"/>
    <w:rsid w:val="008F7F78"/>
    <w:rsid w:val="00AE5ED2"/>
    <w:rsid w:val="00BE0B7C"/>
    <w:rsid w:val="00BF59E7"/>
    <w:rsid w:val="00DF4A96"/>
    <w:rsid w:val="00F57A0F"/>
    <w:rsid w:val="00FA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8F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8F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7F78"/>
  </w:style>
  <w:style w:type="character" w:styleId="a3">
    <w:name w:val="Hyperlink"/>
    <w:basedOn w:val="a0"/>
    <w:uiPriority w:val="99"/>
    <w:semiHidden/>
    <w:unhideWhenUsed/>
    <w:rsid w:val="008F7F78"/>
    <w:rPr>
      <w:color w:val="0000FF"/>
      <w:u w:val="single"/>
    </w:rPr>
  </w:style>
  <w:style w:type="paragraph" w:customStyle="1" w:styleId="consplusnonformat">
    <w:name w:val="consplusnonformat"/>
    <w:basedOn w:val="a"/>
    <w:rsid w:val="008F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8F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8F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7F78"/>
  </w:style>
  <w:style w:type="character" w:styleId="a3">
    <w:name w:val="Hyperlink"/>
    <w:basedOn w:val="a0"/>
    <w:uiPriority w:val="99"/>
    <w:semiHidden/>
    <w:unhideWhenUsed/>
    <w:rsid w:val="008F7F78"/>
    <w:rPr>
      <w:color w:val="0000FF"/>
      <w:u w:val="single"/>
    </w:rPr>
  </w:style>
  <w:style w:type="paragraph" w:customStyle="1" w:styleId="consplusnonformat">
    <w:name w:val="consplusnonformat"/>
    <w:basedOn w:val="a"/>
    <w:rsid w:val="008F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6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513">
          <w:marLeft w:val="0"/>
          <w:marRight w:val="0"/>
          <w:marTop w:val="0"/>
          <w:marBottom w:val="0"/>
          <w:divBdr>
            <w:top w:val="single" w:sz="8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50811">
          <w:marLeft w:val="0"/>
          <w:marRight w:val="0"/>
          <w:marTop w:val="0"/>
          <w:marBottom w:val="0"/>
          <w:divBdr>
            <w:top w:val="single" w:sz="8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D4A170E829BDFEA2D9F98C12EE4BCA6C94B800CB813D393E1FCC0E617006C6275EC4616F211771A33736D88BW8h6N" TargetMode="External"/><Relationship Id="rId13" Type="http://schemas.openxmlformats.org/officeDocument/2006/relationships/hyperlink" Target="consultantplus://offline/ref=DBD4A170E829BDFEA2D9F98C12EE4BCA6C94B800CB813C333A11CD0E617006C6275EC4616F211771A33737DA89W8hEN" TargetMode="External"/><Relationship Id="rId18" Type="http://schemas.openxmlformats.org/officeDocument/2006/relationships/hyperlink" Target="consultantplus://offline/ref=DBD4A170E829BDFEA2D9F98C12EE4BCA6C94B800CB843537381BC3536B785FCA25W5h9N" TargetMode="External"/><Relationship Id="rId26" Type="http://schemas.openxmlformats.org/officeDocument/2006/relationships/hyperlink" Target="consultantplus://offline/ref=DBD4A170E829BDFEA2D9F98C12EE4BCA6C94B800CB813C333A11CD0E617006C6275EC4616F211771A33737D98CW8h6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BD4A170E829BDFEA2D9F98C12EE4BCA6C94B800CB813D393E1FCC0E617006C6275EC4616F211771A33737DE8CW8h8N" TargetMode="External"/><Relationship Id="rId7" Type="http://schemas.openxmlformats.org/officeDocument/2006/relationships/hyperlink" Target="consultantplus://offline/ref=DBD4A170E829BDFEA2D9F98C12EE4BCA6C94B800CB813D393E1FCC0E617006C6275EC4616F211771A33736D888W8hAN" TargetMode="External"/><Relationship Id="rId12" Type="http://schemas.openxmlformats.org/officeDocument/2006/relationships/hyperlink" Target="consultantplus://offline/ref=DBD4A170E829BDFEA2D9F98C12EE4BCA6C94B800CB813C333A11CD0E617006C6275EC4616F211771A33737D98BW8h8N" TargetMode="External"/><Relationship Id="rId17" Type="http://schemas.openxmlformats.org/officeDocument/2006/relationships/hyperlink" Target="consultantplus://offline/ref=DBD4A170E829BDFEA2D9F98C12EE4BCA6C94B800CB883B313C1FC3536B785FCA25W5h9N" TargetMode="External"/><Relationship Id="rId25" Type="http://schemas.openxmlformats.org/officeDocument/2006/relationships/hyperlink" Target="consultantplus://offline/ref=DBD4A170E829BDFEA2D9F98C12EE4BCA6C94B800CB813D393E1FCC0E617006C6275EC4616F211771A33737D08AW8hA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BD4A170E829BDFEA2D9F98C12EE4BCA6C94B800CB813D303B1DC3536B785FCA25W5h9N" TargetMode="External"/><Relationship Id="rId20" Type="http://schemas.openxmlformats.org/officeDocument/2006/relationships/hyperlink" Target="consultantplus://offline/ref=DBD4A170E829BDFEA2D9F98C12EE4BCA6C94B800CB813D313E1CCF0E617006C6275EC4616F211771A33737D88FW8h9N" TargetMode="External"/><Relationship Id="rId29" Type="http://schemas.openxmlformats.org/officeDocument/2006/relationships/hyperlink" Target="consultantplus://offline/ref=DBD4A170E829BDFEA2D9F98C12EE4BCA6C94B800CB813D353B10CB0E617006C6275EWCh4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BD4A170E829BDFEA2D9F98C12EE4BCA6C94B800CB813D393E1FCC0E617006C6275EC4616F211771A33737D08AW8hAN" TargetMode="External"/><Relationship Id="rId11" Type="http://schemas.openxmlformats.org/officeDocument/2006/relationships/hyperlink" Target="consultantplus://offline/ref=DBD4A170E829BDFEA2D9F98C12EE4BCA6C94B800CB813C333A11CD0E617006C6275EC4616F211771A33737D98CW8hDN" TargetMode="External"/><Relationship Id="rId24" Type="http://schemas.openxmlformats.org/officeDocument/2006/relationships/hyperlink" Target="consultantplus://offline/ref=DBD4A170E829BDFEA2D9F98C12EE4BCA6C94B800CB813C333A11CD0E617006C6275EC4616F211771A33737D888W8hDN" TargetMode="External"/><Relationship Id="rId5" Type="http://schemas.openxmlformats.org/officeDocument/2006/relationships/hyperlink" Target="consultantplus://offline/ref=DBD4A170E829BDFEA2D9F98C12EE4BCA6C94B800CB813D393E1FCC0E617006C6275EC4616F211771A33737DE8CW8h8N" TargetMode="External"/><Relationship Id="rId15" Type="http://schemas.openxmlformats.org/officeDocument/2006/relationships/hyperlink" Target="consultantplus://offline/ref=DBD4A170E829BDFEA2D9F98C12EE4BCA6C94B800CB813C333A11CD0E617006C6275EC4616F211771A33737DE8CW8h9N" TargetMode="External"/><Relationship Id="rId23" Type="http://schemas.openxmlformats.org/officeDocument/2006/relationships/hyperlink" Target="consultantplus://offline/ref=DBD4A170E829BDFEA2D9F98C12EE4BCA6C94B800CB813C333A11CD0E617006C6275EC4616F211771A33737D88EW8h9N" TargetMode="External"/><Relationship Id="rId28" Type="http://schemas.openxmlformats.org/officeDocument/2006/relationships/hyperlink" Target="consultantplus://offline/ref=DBD4A170E829BDFEA2D9F98C12EE4BCA6C94B800CB8839393C1DC3536B785FCA25W5h9N" TargetMode="External"/><Relationship Id="rId10" Type="http://schemas.openxmlformats.org/officeDocument/2006/relationships/hyperlink" Target="consultantplus://offline/ref=DBD4A170E829BDFEA2D9F98C12EE4BCA6C94B800CB813C333A11CD0E617006C6275EC4616F211771A33737D88EW8hEN" TargetMode="External"/><Relationship Id="rId19" Type="http://schemas.openxmlformats.org/officeDocument/2006/relationships/hyperlink" Target="consultantplus://offline/ref=DBD4A170E829BDFEA2D9F98C12EE4BCA6C94B800CB813D313F1FC90E617006C6275EC4616F211771A33737D88DW8hFN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D4A170E829BDFEA2D9F98C12EE4BCA6C94B800CB813D393E1FCC0E617006C6275EC4616F211771A33735DC8CW8hFN" TargetMode="External"/><Relationship Id="rId14" Type="http://schemas.openxmlformats.org/officeDocument/2006/relationships/hyperlink" Target="consultantplus://offline/ref=DBD4A170E829BDFEA2D9F98C12EE4BCA6C94B800CB813C333A11CD0E617006C6275EC4616F211771A33737DB85W8hFN" TargetMode="External"/><Relationship Id="rId22" Type="http://schemas.openxmlformats.org/officeDocument/2006/relationships/hyperlink" Target="consultantplus://offline/ref=DBD4A170E829BDFEA2D9F98C12EE4BCA6C94B800CB813D393E1FCC0E617006C6275EC4616F211771A33735DB89W8hFN" TargetMode="External"/><Relationship Id="rId27" Type="http://schemas.openxmlformats.org/officeDocument/2006/relationships/hyperlink" Target="consultantplus://offline/ref=DBD4A170E829BDFEA2D9F98C12EE4BCA6C94B800CB813C333E19CD0E617006C6275EC4616F211771A33733DB89W8h8N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4552</Words>
  <Characters>25948</Characters>
  <Application>Microsoft Office Word</Application>
  <DocSecurity>0</DocSecurity>
  <Lines>216</Lines>
  <Paragraphs>60</Paragraphs>
  <ScaleCrop>false</ScaleCrop>
  <Company>*</Company>
  <LinksUpToDate>false</LinksUpToDate>
  <CharactersWithSpaces>30440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1</cp:revision>
  <dcterms:created xsi:type="dcterms:W3CDTF">2012-10-07T10:35:00Z</dcterms:created>
  <dcterms:modified xsi:type="dcterms:W3CDTF">2012-10-07T10:52:00Z</dcterms:modified>
</cp:coreProperties>
</file>